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D" w:rsidRPr="00042EFD" w:rsidRDefault="00042EFD" w:rsidP="00042EFD">
      <w:pPr>
        <w:suppressAutoHyphens/>
      </w:pPr>
    </w:p>
    <w:p w:rsidR="00042EFD" w:rsidRPr="00042EFD" w:rsidRDefault="00042EFD" w:rsidP="00042EFD">
      <w:pPr>
        <w:suppressAutoHyphens/>
      </w:pPr>
    </w:p>
    <w:p w:rsidR="00042EFD" w:rsidRPr="00042EFD" w:rsidRDefault="00042EFD" w:rsidP="00042EFD">
      <w:pPr>
        <w:suppressAutoHyphens/>
      </w:pPr>
    </w:p>
    <w:p w:rsidR="00042EFD" w:rsidRPr="00042EFD" w:rsidRDefault="00042EFD" w:rsidP="00042EFD">
      <w:pPr>
        <w:suppressAutoHyphens/>
      </w:pPr>
    </w:p>
    <w:p w:rsidR="00042EFD" w:rsidRPr="00042EFD" w:rsidRDefault="00042EFD" w:rsidP="00042EFD">
      <w:pPr>
        <w:jc w:val="center"/>
        <w:rPr>
          <w:b/>
          <w:bCs/>
          <w:kern w:val="32"/>
          <w:sz w:val="32"/>
          <w:szCs w:val="28"/>
          <w:lang w:val="x-none" w:eastAsia="x-none"/>
        </w:rPr>
      </w:pPr>
      <w:r w:rsidRPr="00042EFD">
        <w:rPr>
          <w:b/>
          <w:bCs/>
          <w:kern w:val="32"/>
          <w:sz w:val="32"/>
          <w:szCs w:val="28"/>
          <w:lang w:val="x-none" w:eastAsia="x-none"/>
        </w:rPr>
        <w:t>ЗАДАНИЕ</w:t>
      </w:r>
    </w:p>
    <w:p w:rsidR="00042EFD" w:rsidRPr="00042EFD" w:rsidRDefault="00042EFD" w:rsidP="00042EFD">
      <w:pPr>
        <w:pStyle w:val="1"/>
        <w:rPr>
          <w:rFonts w:ascii="Times New Roman" w:hAnsi="Times New Roman"/>
          <w:szCs w:val="28"/>
        </w:rPr>
      </w:pPr>
      <w:r w:rsidRPr="00042EFD">
        <w:rPr>
          <w:rFonts w:ascii="Times New Roman" w:hAnsi="Times New Roman"/>
          <w:szCs w:val="28"/>
        </w:rPr>
        <w:t>НА РАЗРАБОТКУ ПРОЕКТНОЙ ДОКУМЕНТАЦИИ</w:t>
      </w:r>
    </w:p>
    <w:p w:rsidR="00042EFD" w:rsidRPr="00042EFD" w:rsidRDefault="00042EFD" w:rsidP="00042EFD">
      <w:pPr>
        <w:jc w:val="center"/>
        <w:rPr>
          <w:bCs/>
        </w:rPr>
      </w:pPr>
    </w:p>
    <w:p w:rsidR="00042EFD" w:rsidRPr="00042EFD" w:rsidRDefault="00042EFD" w:rsidP="00042EFD">
      <w:pPr>
        <w:jc w:val="center"/>
        <w:rPr>
          <w:b/>
          <w:bCs/>
        </w:rPr>
      </w:pPr>
    </w:p>
    <w:p w:rsidR="00042EFD" w:rsidRPr="00042EFD" w:rsidRDefault="004C5877" w:rsidP="00042EFD">
      <w:pPr>
        <w:suppressAutoHyphens/>
        <w:jc w:val="center"/>
      </w:pPr>
      <w:r>
        <w:rPr>
          <w:b/>
        </w:rPr>
        <w:t xml:space="preserve">На </w:t>
      </w:r>
      <w:bookmarkStart w:id="0" w:name="_GoBack"/>
      <w:bookmarkEnd w:id="0"/>
      <w:r>
        <w:rPr>
          <w:b/>
        </w:rPr>
        <w:t xml:space="preserve">выполнение работ по разработке проектно-сметной документации по титулу: «Вынос </w:t>
      </w:r>
      <w:proofErr w:type="gramStart"/>
      <w:r>
        <w:rPr>
          <w:b/>
        </w:rPr>
        <w:t>ВЛ</w:t>
      </w:r>
      <w:proofErr w:type="gramEnd"/>
      <w:r>
        <w:rPr>
          <w:b/>
        </w:rPr>
        <w:t xml:space="preserve"> 110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из зоны строительства кв. 13, 14, 16 района </w:t>
      </w:r>
      <w:proofErr w:type="spellStart"/>
      <w:r>
        <w:rPr>
          <w:b/>
        </w:rPr>
        <w:t>Некрасовка</w:t>
      </w:r>
      <w:proofErr w:type="spellEnd"/>
      <w:r>
        <w:rPr>
          <w:b/>
        </w:rPr>
        <w:t xml:space="preserve">. 1 этап. Переустройство </w:t>
      </w:r>
      <w:proofErr w:type="gramStart"/>
      <w:r>
        <w:rPr>
          <w:b/>
        </w:rPr>
        <w:t>ВЛ</w:t>
      </w:r>
      <w:proofErr w:type="gramEnd"/>
      <w:r>
        <w:rPr>
          <w:b/>
        </w:rPr>
        <w:t xml:space="preserve"> 500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«Каскадная-Ногинск»»</w:t>
      </w: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</w:p>
    <w:p w:rsidR="00042EFD" w:rsidRPr="00042EFD" w:rsidRDefault="00042EFD" w:rsidP="00042EFD">
      <w:pPr>
        <w:suppressAutoHyphens/>
        <w:jc w:val="center"/>
      </w:pPr>
      <w:r w:rsidRPr="00042EFD">
        <w:t>Москва 2017</w:t>
      </w:r>
    </w:p>
    <w:p w:rsidR="00042EFD" w:rsidRPr="00042EFD" w:rsidRDefault="00042EFD" w:rsidP="00042EFD">
      <w:pPr>
        <w:widowControl/>
        <w:autoSpaceDE/>
        <w:autoSpaceDN/>
        <w:adjustRightInd/>
      </w:pPr>
      <w:r w:rsidRPr="00042EFD">
        <w:br w:type="page"/>
      </w:r>
    </w:p>
    <w:p w:rsidR="00042EFD" w:rsidRPr="004C5877" w:rsidRDefault="00042EFD" w:rsidP="00042EFD"/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7"/>
        <w:gridCol w:w="29"/>
        <w:gridCol w:w="6431"/>
      </w:tblGrid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Перечень основных данных и требования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Содержание требований</w:t>
            </w:r>
          </w:p>
        </w:tc>
      </w:tr>
      <w:tr w:rsidR="00042EFD" w:rsidRPr="00042EFD" w:rsidTr="00042EF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1.Общие данные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1.1.   Основание для проектирования.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Постановление Правительства Москвы от 11.10.2016 № 665-ПП   «Об   Адресной   инвестиционной   программе   города Москвы на 2016-2019 годы»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1.2.   Застройщик (Заказчик).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Казённое предприятие города Москвы «Управление гражданского строительства»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1.3.   Ген. проектировщик.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ОАО «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Москабельсетьмонтаж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>»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1.4.   Сведения об участке (трассе) строительства.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Участок строительства расположен в районе 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Некрасовка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 xml:space="preserve"> Юго-Восточного Административного округа города Москвы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1.5.   Вид строительства.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Реконструкция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1.6.   Тип объекта.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Линейный объект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1.7.   Наличие особо опасных и технически сложных объектов.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  <w:r w:rsidRPr="00042EFD">
              <w:rPr>
                <w:rStyle w:val="FontStyle27"/>
                <w:sz w:val="24"/>
                <w:szCs w:val="24"/>
                <w:lang w:val="en-US" w:eastAsia="en-US"/>
              </w:rPr>
              <w:t xml:space="preserve">BJI </w:t>
            </w:r>
            <w:r w:rsidRPr="00042EFD">
              <w:rPr>
                <w:rStyle w:val="FontStyle27"/>
                <w:sz w:val="24"/>
                <w:szCs w:val="24"/>
                <w:lang w:eastAsia="en-US"/>
              </w:rPr>
              <w:t>500 кВ «Каскадная-Ногинск»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1.8.   Основные технико-экономические показатели.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Переустройство   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ВЛ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   500    кВ    «Каскадная-Ногинск»   -ориентировочной  протяженностью 0,9 км (окончательная протяженность определяется проектом).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1.9.   Указания о разделении этапов строительства и пусковых комплексов, стадийность проектирования.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1.   Переустройство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ВЛ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500 кВ «Каскадная-Ногинск».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Проектирование осуществить в два этапа: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382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</w:t>
            </w:r>
            <w:r w:rsidRPr="00042EFD">
              <w:rPr>
                <w:rStyle w:val="FontStyle27"/>
                <w:sz w:val="24"/>
                <w:szCs w:val="24"/>
              </w:rPr>
              <w:tab/>
              <w:t>Проектная     документация     (выполнить     в     объеме</w:t>
            </w:r>
            <w:r w:rsidRPr="00042EFD">
              <w:rPr>
                <w:rStyle w:val="FontStyle27"/>
                <w:sz w:val="24"/>
                <w:szCs w:val="24"/>
              </w:rPr>
              <w:br/>
              <w:t>соответствующем постановлению Правительства РФ от</w:t>
            </w:r>
            <w:r w:rsidRPr="00042EFD">
              <w:rPr>
                <w:rStyle w:val="FontStyle27"/>
                <w:sz w:val="24"/>
                <w:szCs w:val="24"/>
              </w:rPr>
              <w:br/>
              <w:t>16.02.2008   №   87   «О   составе   разделов   проектной</w:t>
            </w:r>
            <w:r w:rsidRPr="00042EFD">
              <w:rPr>
                <w:rStyle w:val="FontStyle27"/>
                <w:sz w:val="24"/>
                <w:szCs w:val="24"/>
              </w:rPr>
              <w:br/>
              <w:t>документации и требованиях к их содержанию»).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382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2.</w:t>
            </w:r>
            <w:r w:rsidRPr="00042EFD">
              <w:rPr>
                <w:rStyle w:val="FontStyle27"/>
                <w:sz w:val="24"/>
                <w:szCs w:val="24"/>
              </w:rPr>
              <w:tab/>
              <w:t>Рабочая документация (выполнить в объеме достаточном</w:t>
            </w:r>
            <w:r w:rsidRPr="00042EFD">
              <w:rPr>
                <w:rStyle w:val="FontStyle27"/>
                <w:sz w:val="24"/>
                <w:szCs w:val="24"/>
              </w:rPr>
              <w:br/>
              <w:t>для переустройства воздушных линий).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1.10. Источник финансирования строительства.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Проект на 100% финансируется за счет бюджета города Москвы в рамках Адресной инвестиционной программы города Москвы на 2016-2019 годы, утверждённой Постановлением Правительства Москвы от 11.10.2016 № 665-ПП.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1.11. Необходимость разработки вариантов проектных решений.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1.12. Исходные данные, представляемые Застройщиком до начала проектирования.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    Утвержденный проект планировки территории и проект межевания территории линейных объектов: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-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ВЛ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500 кВ «Каскадная-Ногинск»;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1.13. Исходные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данные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получаемые генеральным проектировщиком.</w:t>
            </w:r>
          </w:p>
        </w:tc>
        <w:tc>
          <w:tcPr>
            <w:tcW w:w="6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1.  Технические условия ПАО «ФСК ЕЭС»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на</w:t>
            </w:r>
            <w:proofErr w:type="gramEnd"/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переустройство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ВЛ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500 кВ «Каскадная-Ногинск».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Технические   условия    на    переустройство    инженерных коммуникаций (при необходимости).</w:t>
            </w:r>
          </w:p>
        </w:tc>
      </w:tr>
      <w:tr w:rsidR="00042EFD" w:rsidRPr="00042EFD" w:rsidTr="00042EF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2. Требования к разработке проектной документации</w:t>
            </w:r>
          </w:p>
        </w:tc>
      </w:tr>
      <w:tr w:rsidR="00042EFD" w:rsidRPr="00042EFD" w:rsidTr="00042EFD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2.1.  Основные требования к разработке проектной документации.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pBdr>
                <w:bar w:val="single" w:sz="4" w:color="auto"/>
              </w:pBdr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Состав    проекта   и    содержание   разделов    проектной документации выполнить в соответствии с действующим законодательством РФ, в том числе:</w:t>
            </w:r>
          </w:p>
          <w:p w:rsidR="00042EFD" w:rsidRPr="00042EFD" w:rsidRDefault="00042EFD" w:rsidP="00042EFD">
            <w:pPr>
              <w:pStyle w:val="Style14"/>
              <w:widowControl/>
              <w:pBdr>
                <w:bar w:val="single" w:sz="4" w:color="auto"/>
              </w:pBdr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 постановлением Правительства РФ от 16.02.2008 № 87 «О составе разделов проектной документации и требованиях к их содержанию»;</w:t>
            </w:r>
          </w:p>
          <w:p w:rsidR="00042EFD" w:rsidRPr="00042EFD" w:rsidRDefault="00042EFD" w:rsidP="00042EFD">
            <w:pPr>
              <w:pStyle w:val="Style1"/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Федеральным   законом   от   29.12.2004   №    190-ФЗ «Градостроительный кодекс Российской Федерации»:</w:t>
            </w:r>
          </w:p>
          <w:p w:rsidR="00042EFD" w:rsidRPr="00042EFD" w:rsidRDefault="00042EFD" w:rsidP="00042EFD">
            <w:pPr>
              <w:pStyle w:val="Style1"/>
              <w:widowControl/>
              <w:pBdr>
                <w:bar w:val="single" w:sz="4" w:color="auto"/>
              </w:pBdr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Федеральным    законом    от    30.12.2009    №    384-ФЗ «Технический    регламент   о    безопасности    зданий    и сооружений»;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D" w:rsidRPr="00042EFD" w:rsidRDefault="00042EFD" w:rsidP="00042EFD">
            <w:pPr>
              <w:pStyle w:val="Style8"/>
              <w:widowControl/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D" w:rsidRPr="00042EFD" w:rsidRDefault="00042EFD" w:rsidP="00042EFD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Федеральным   законом   от   22.07.2008   №    123-ФЗ «Технический    регламент    о    требованиях    пожарной безопасности»;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374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 xml:space="preserve">ГОСТ 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Р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 21.1101-2013  «Национальный  стандарт  РФ. Система   проектной   документации   для   строительства. Основные требования к проектной и рабочей документации»;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постановлением Правительства РФ от 26.12.2014 № 1521 (с изм. от 29.09.2015) "Об утверждении перечня национальных стандартов и сводов правил (частей таких стандартов и сводов  правил),   в  результате  применения   которых 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иными действующими нормативными документами;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45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 xml:space="preserve">в соответствии с условиями подключения (договорами технологического присоединения), техническими условиями и технологическими заданиями на переустройство эксплуатирующих и 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энергоснабжающих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 xml:space="preserve"> организаций.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2.2.   Выполнение инженерных изысканий.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Необходимость выполнения определить проектом.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2.3.   Согласование проектной документации.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Проектировщику совместно с Застройщиком (Заказчиком) выполнить все необходимые согласования с заинтересованными организациями в соответствии с Постановлением Правительства города Москвы от 30.07.2002 №586-ПП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2.4.  Экспертиза проектной документации.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1. Получить положительное заключение</w:t>
            </w:r>
          </w:p>
          <w:p w:rsidR="00042EFD" w:rsidRPr="00042EFD" w:rsidRDefault="00042EFD" w:rsidP="00042EFD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ФАУ «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Главгосэкспертиза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 xml:space="preserve"> России» проектной документации.</w:t>
            </w:r>
          </w:p>
        </w:tc>
      </w:tr>
      <w:tr w:rsidR="00042EFD" w:rsidRPr="00042EFD" w:rsidTr="00042EF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  <w:lang w:val="en-US"/>
              </w:rPr>
              <w:t>3</w:t>
            </w:r>
            <w:r w:rsidRPr="00042EFD">
              <w:rPr>
                <w:rStyle w:val="FontStyle26"/>
                <w:sz w:val="24"/>
                <w:szCs w:val="24"/>
              </w:rPr>
              <w:t>, Дополнительные требования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3.1.   Количество комплектов проектной и рабочей документации, передаваемой заказчику.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Проектная документация передается Застройщику в 4-х экземплярах на бумажном носителе и в 2-х экземплярах на электронном носителе.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Рабочая документация передается Застройщику в 2-х экземплярах на бумажном носителе и в 2-х экземплярах на электронном носителе и Генеральному подрядчику в 2-х экземплярах на бумажном носителе и в одном экземпляре на электронном носителе.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Проектная и Рабочая документация на электронном носителе передается Застройщику в формате 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PDF</w:t>
            </w:r>
            <w:r w:rsidRPr="00042EFD">
              <w:rPr>
                <w:rStyle w:val="FontStyle27"/>
                <w:sz w:val="24"/>
                <w:szCs w:val="24"/>
              </w:rPr>
              <w:t xml:space="preserve">, 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DWG</w:t>
            </w:r>
            <w:r w:rsidRPr="00042EFD">
              <w:rPr>
                <w:rStyle w:val="FontStyle27"/>
                <w:sz w:val="24"/>
                <w:szCs w:val="24"/>
              </w:rPr>
              <w:t xml:space="preserve"> (</w:t>
            </w:r>
            <w:proofErr w:type="spellStart"/>
            <w:r w:rsidRPr="00042EFD">
              <w:rPr>
                <w:rStyle w:val="FontStyle27"/>
                <w:sz w:val="24"/>
                <w:szCs w:val="24"/>
                <w:lang w:val="en-US"/>
              </w:rPr>
              <w:t>Autocad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>) в том числе в формате Единого геоинформационного пространства города Москвы, с указанием: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52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формата и структуры электронных картографических и других информационных данных;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52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программного обеспечения;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52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формата передачи данных в электронном виде.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3.2.   Необходимость изготовления демонстрационных материалов.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</w:t>
            </w:r>
          </w:p>
        </w:tc>
      </w:tr>
      <w:tr w:rsidR="00042EFD" w:rsidRPr="00042EFD" w:rsidTr="00042EFD"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3.3.   Требования к составу сметной документации.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Сметную документацию разработать по ТСН-2001 в 2-х уровнях цен: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45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 xml:space="preserve">в базисном уровне цен 2000 </w:t>
            </w:r>
            <w:r w:rsidRPr="00042EFD">
              <w:rPr>
                <w:rStyle w:val="FontStyle26"/>
                <w:sz w:val="24"/>
                <w:szCs w:val="24"/>
              </w:rPr>
              <w:t>г.,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45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в текущих ценах с применением коэффициентов пересчета на момент выдачи государственной экспертизы.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В сводный сметный расчет стоимости включил, резерв </w:t>
            </w:r>
            <w:r w:rsidRPr="00042EFD">
              <w:rPr>
                <w:rStyle w:val="FontStyle27"/>
                <w:sz w:val="24"/>
                <w:szCs w:val="24"/>
              </w:rPr>
              <w:lastRenderedPageBreak/>
              <w:t>сре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дств ст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>оимости непредвиденных работ и затрат в размере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8"/>
              <w:widowControl/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2%, в соответствии с приказом Комитета г. Москвы по ценовой политике в строительстве и государственной экспертизе проектов от 27.05.2015 № 56.</w:t>
            </w:r>
          </w:p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В соответствии с постановлением Правительства Москвы от 26.04.2016 № 218-ПП при разработке сметной документации отдельно выделить долю импортной составляющей стоимости оборудования. Выдать: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16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>на бумажных носителях - 4 экз.;</w:t>
            </w:r>
          </w:p>
          <w:p w:rsidR="00042EFD" w:rsidRPr="00042EFD" w:rsidRDefault="00042EFD" w:rsidP="00042EFD">
            <w:pPr>
              <w:pStyle w:val="Style6"/>
              <w:widowControl/>
              <w:tabs>
                <w:tab w:val="left" w:pos="216"/>
              </w:tabs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-</w:t>
            </w:r>
            <w:r w:rsidRPr="00042EFD">
              <w:rPr>
                <w:rStyle w:val="FontStyle27"/>
                <w:sz w:val="24"/>
                <w:szCs w:val="24"/>
              </w:rPr>
              <w:tab/>
              <w:t xml:space="preserve">в электронном виде на 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CD</w:t>
            </w:r>
            <w:r w:rsidRPr="00042EFD">
              <w:rPr>
                <w:rStyle w:val="FontStyle27"/>
                <w:sz w:val="24"/>
                <w:szCs w:val="24"/>
              </w:rPr>
              <w:t xml:space="preserve"> дисках: 1 экз. - 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ARPS</w:t>
            </w:r>
            <w:r w:rsidRPr="00042EFD">
              <w:rPr>
                <w:rStyle w:val="FontStyle27"/>
                <w:sz w:val="24"/>
                <w:szCs w:val="24"/>
              </w:rPr>
              <w:t xml:space="preserve"> 1.10; 2 экз. -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PDF</w:t>
            </w:r>
            <w:r w:rsidRPr="00042EFD">
              <w:rPr>
                <w:rStyle w:val="FontStyle27"/>
                <w:sz w:val="24"/>
                <w:szCs w:val="24"/>
              </w:rPr>
              <w:t xml:space="preserve">; 2 экз. - </w:t>
            </w:r>
            <w:r w:rsidRPr="00042EFD">
              <w:rPr>
                <w:rStyle w:val="FontStyle27"/>
                <w:sz w:val="24"/>
                <w:szCs w:val="24"/>
                <w:lang w:val="en-US"/>
              </w:rPr>
              <w:t>XLSX</w:t>
            </w:r>
            <w:r w:rsidRPr="00042EFD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3.4.   Выполнение научно-исследовательских и экспериментальных работ.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3.5.   Применение материалов конструкций и оборудования при разработке проекта.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Применить    материалы,    конструкции    и    оборудование Российского   производства   (в   случае   их   отсутствия   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-и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>мпортные аналоги)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3.6.   Необходимость авторского надзора.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Выполняется по отдельному договору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3.7.   Инженерная подготовка территории.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Необходимость  определяется   на  основании   результатов инженерно-геологических        изысканий        (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инженерно-гидрологические</w:t>
            </w:r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    в     их     составе)      и      инженерно-топографического плана</w:t>
            </w:r>
          </w:p>
        </w:tc>
      </w:tr>
      <w:tr w:rsidR="00042EFD" w:rsidRPr="00042EFD" w:rsidTr="00614B60">
        <w:trPr>
          <w:trHeight w:val="34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 xml:space="preserve">4. </w:t>
            </w:r>
            <w:r w:rsidRPr="00042EFD">
              <w:rPr>
                <w:rStyle w:val="FontStyle25"/>
              </w:rPr>
              <w:t>СОСТАВ И ОБЪЕМ ПРОЕКТНО-ИЗЫСКАТЕЛЬСКИХ РАБОТ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СОСТАВ РАБОТ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2EFD" w:rsidRPr="00042EFD" w:rsidRDefault="00042EFD" w:rsidP="00042EFD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042EFD">
              <w:rPr>
                <w:rStyle w:val="FontStyle26"/>
                <w:sz w:val="24"/>
                <w:szCs w:val="24"/>
              </w:rPr>
              <w:t>ОБЪЁМ РАБОТ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4.1 Инженерные изыскания (с выполнением технического отчета):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4.5.1 </w:t>
            </w:r>
            <w:r w:rsidRPr="00042EFD">
              <w:rPr>
                <w:rStyle w:val="FontStyle26"/>
                <w:sz w:val="24"/>
                <w:szCs w:val="24"/>
              </w:rPr>
              <w:t xml:space="preserve">Раздел 1 </w:t>
            </w:r>
            <w:r w:rsidRPr="00042EFD">
              <w:rPr>
                <w:rStyle w:val="FontStyle27"/>
                <w:sz w:val="24"/>
                <w:szCs w:val="24"/>
              </w:rPr>
              <w:t>«Пояснительная записка»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4.5.2 </w:t>
            </w:r>
            <w:r w:rsidRPr="00042EFD">
              <w:rPr>
                <w:rStyle w:val="FontStyle26"/>
                <w:sz w:val="24"/>
                <w:szCs w:val="24"/>
              </w:rPr>
              <w:t xml:space="preserve">Раздел 2 </w:t>
            </w:r>
            <w:r w:rsidRPr="00042EFD">
              <w:rPr>
                <w:rStyle w:val="FontStyle27"/>
                <w:sz w:val="24"/>
                <w:szCs w:val="24"/>
              </w:rPr>
              <w:t>«Проект полосы отвода»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4.5.3 </w:t>
            </w:r>
            <w:r w:rsidRPr="00042EFD">
              <w:rPr>
                <w:rStyle w:val="FontStyle26"/>
                <w:sz w:val="24"/>
                <w:szCs w:val="24"/>
              </w:rPr>
              <w:t xml:space="preserve">Раздел 3 </w:t>
            </w:r>
            <w:r w:rsidRPr="00042EFD">
              <w:rPr>
                <w:rStyle w:val="FontStyle27"/>
                <w:sz w:val="24"/>
                <w:szCs w:val="24"/>
              </w:rPr>
              <w:t xml:space="preserve">«Технологические и конструктивные решения линейного объекта. Искусственные сооружения» (согласно 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п</w:t>
            </w:r>
            <w:proofErr w:type="gramStart"/>
            <w:r w:rsidRPr="00042EFD">
              <w:rPr>
                <w:rStyle w:val="FontStyle27"/>
                <w:sz w:val="24"/>
                <w:szCs w:val="24"/>
              </w:rPr>
              <w:t>.З</w:t>
            </w:r>
            <w:proofErr w:type="spellEnd"/>
            <w:proofErr w:type="gramEnd"/>
            <w:r w:rsidRPr="00042EFD">
              <w:rPr>
                <w:rStyle w:val="FontStyle27"/>
                <w:sz w:val="24"/>
                <w:szCs w:val="24"/>
              </w:rPr>
              <w:t xml:space="preserve"> настоящего Задания)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4.5.4 </w:t>
            </w:r>
            <w:r w:rsidRPr="00042EFD">
              <w:rPr>
                <w:rStyle w:val="FontStyle26"/>
                <w:sz w:val="24"/>
                <w:szCs w:val="24"/>
              </w:rPr>
              <w:t xml:space="preserve">Раздел 4 </w:t>
            </w:r>
            <w:r w:rsidRPr="00042EFD">
              <w:rPr>
                <w:rStyle w:val="FontStyle27"/>
                <w:sz w:val="24"/>
                <w:szCs w:val="24"/>
              </w:rPr>
              <w:t>«Здания, строения и сооружения, входящие в инфраструктуру линейного объекта»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4.5.5 </w:t>
            </w:r>
            <w:r w:rsidRPr="00042EFD">
              <w:rPr>
                <w:rStyle w:val="FontStyle26"/>
                <w:sz w:val="24"/>
                <w:szCs w:val="24"/>
              </w:rPr>
              <w:t xml:space="preserve">Раздел 5 </w:t>
            </w:r>
            <w:r w:rsidRPr="00042EFD">
              <w:rPr>
                <w:rStyle w:val="FontStyle27"/>
                <w:sz w:val="24"/>
                <w:szCs w:val="24"/>
              </w:rPr>
              <w:t>«Проект организации строительства»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4.5.5.1 Подраздел «Мероприятия по обеспечению безопасности движения на период строительства»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4.5.6 Раздел 6 «Проект организации работ по сносу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(демонтажу) линейного объекта»: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spacing w:line="240" w:lineRule="auto"/>
              <w:jc w:val="center"/>
            </w:pP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4.5.7 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Раздел 7 </w:t>
            </w:r>
            <w:r w:rsidRPr="00042EFD">
              <w:rPr>
                <w:rStyle w:val="FontStyle27"/>
                <w:sz w:val="24"/>
                <w:szCs w:val="24"/>
              </w:rPr>
              <w:t xml:space="preserve">«Мероприятия по </w:t>
            </w:r>
            <w:r w:rsidRPr="00042EFD">
              <w:rPr>
                <w:rStyle w:val="FontStyle27"/>
                <w:sz w:val="24"/>
                <w:szCs w:val="24"/>
              </w:rPr>
              <w:lastRenderedPageBreak/>
              <w:t>охране окружающей среды»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lastRenderedPageBreak/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lastRenderedPageBreak/>
              <w:t>4.5.7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.1 </w:t>
            </w:r>
            <w:r w:rsidRPr="00042EFD">
              <w:rPr>
                <w:rStyle w:val="FontStyle27"/>
                <w:sz w:val="24"/>
                <w:szCs w:val="24"/>
              </w:rPr>
              <w:t xml:space="preserve">Часть 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1. </w:t>
            </w:r>
            <w:r w:rsidRPr="00042EFD">
              <w:rPr>
                <w:rStyle w:val="FontStyle27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4.5.7.2 Подраздел «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Дендроплан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 xml:space="preserve"> существующих зеленых насаждений и </w:t>
            </w:r>
            <w:proofErr w:type="spellStart"/>
            <w:r w:rsidRPr="00042EFD">
              <w:rPr>
                <w:rStyle w:val="FontStyle27"/>
                <w:sz w:val="24"/>
                <w:szCs w:val="24"/>
              </w:rPr>
              <w:t>перечетная</w:t>
            </w:r>
            <w:proofErr w:type="spellEnd"/>
            <w:r w:rsidRPr="00042EFD">
              <w:rPr>
                <w:rStyle w:val="FontStyle27"/>
                <w:sz w:val="24"/>
                <w:szCs w:val="24"/>
              </w:rPr>
              <w:t xml:space="preserve"> ведомость, компенсационное озеленение»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4.5.7.4 Подраздел «Технологический регламент процесса обращения с отходами строительства и сноса»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4.5.8 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Раздел 8 </w:t>
            </w:r>
            <w:r w:rsidRPr="00042EFD">
              <w:rPr>
                <w:rStyle w:val="FontStyle27"/>
                <w:sz w:val="24"/>
                <w:szCs w:val="24"/>
              </w:rPr>
              <w:t>«Мероприятия по обеспечению пожарной безопасности»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 xml:space="preserve">4.5.9 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Раздел 9 </w:t>
            </w:r>
            <w:r w:rsidRPr="00042EFD">
              <w:rPr>
                <w:rStyle w:val="FontStyle27"/>
                <w:sz w:val="24"/>
                <w:szCs w:val="24"/>
              </w:rPr>
              <w:t>«Смета на строительство»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Не требуется.</w:t>
            </w:r>
          </w:p>
        </w:tc>
      </w:tr>
      <w:tr w:rsidR="00042EFD" w:rsidRPr="00042EFD" w:rsidTr="00042EFD"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4.5</w:t>
            </w:r>
            <w:r w:rsidRPr="00042EFD">
              <w:rPr>
                <w:rStyle w:val="FontStyle26"/>
                <w:b w:val="0"/>
                <w:bCs w:val="0"/>
                <w:sz w:val="24"/>
                <w:szCs w:val="24"/>
              </w:rPr>
              <w:t xml:space="preserve">.10 Раздел 10 </w:t>
            </w:r>
            <w:r w:rsidRPr="00042EFD">
              <w:rPr>
                <w:rStyle w:val="FontStyle27"/>
                <w:sz w:val="24"/>
                <w:szCs w:val="24"/>
              </w:rPr>
              <w:t>«Иная документация в случаях, предусмотренных федеральными законами»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FD" w:rsidRPr="00042EFD" w:rsidRDefault="00042EFD" w:rsidP="00042EFD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042EFD">
              <w:rPr>
                <w:rStyle w:val="FontStyle27"/>
                <w:sz w:val="24"/>
                <w:szCs w:val="24"/>
              </w:rPr>
              <w:t>Требуется при необходимости</w:t>
            </w:r>
          </w:p>
        </w:tc>
      </w:tr>
    </w:tbl>
    <w:p w:rsidR="00042EFD" w:rsidRPr="00042EFD" w:rsidRDefault="00042EFD" w:rsidP="00042EFD"/>
    <w:p w:rsidR="00042EFD" w:rsidRPr="00042EFD" w:rsidRDefault="00042EFD" w:rsidP="00042EFD"/>
    <w:p w:rsidR="00042EFD" w:rsidRPr="00042EFD" w:rsidRDefault="00042EFD" w:rsidP="00042EFD"/>
    <w:sectPr w:rsidR="00042EFD" w:rsidRPr="00042EFD" w:rsidSect="00042E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D"/>
    <w:rsid w:val="00042EFD"/>
    <w:rsid w:val="002E3C63"/>
    <w:rsid w:val="004C5877"/>
    <w:rsid w:val="00614B60"/>
    <w:rsid w:val="00E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EFD"/>
    <w:pPr>
      <w:keepNext/>
      <w:widowControl/>
      <w:autoSpaceDE/>
      <w:autoSpaceDN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2EFD"/>
    <w:pPr>
      <w:spacing w:line="245" w:lineRule="exact"/>
      <w:ind w:firstLine="353"/>
    </w:pPr>
  </w:style>
  <w:style w:type="paragraph" w:customStyle="1" w:styleId="Style6">
    <w:name w:val="Style6"/>
    <w:basedOn w:val="a"/>
    <w:uiPriority w:val="99"/>
    <w:rsid w:val="00042EFD"/>
    <w:pPr>
      <w:spacing w:line="245" w:lineRule="exact"/>
    </w:pPr>
  </w:style>
  <w:style w:type="paragraph" w:customStyle="1" w:styleId="Style13">
    <w:name w:val="Style13"/>
    <w:basedOn w:val="a"/>
    <w:uiPriority w:val="99"/>
    <w:rsid w:val="00042EFD"/>
    <w:pPr>
      <w:spacing w:line="245" w:lineRule="exact"/>
    </w:pPr>
  </w:style>
  <w:style w:type="paragraph" w:customStyle="1" w:styleId="Style14">
    <w:name w:val="Style14"/>
    <w:basedOn w:val="a"/>
    <w:uiPriority w:val="99"/>
    <w:rsid w:val="00042EFD"/>
    <w:pPr>
      <w:spacing w:line="238" w:lineRule="exact"/>
    </w:pPr>
  </w:style>
  <w:style w:type="character" w:customStyle="1" w:styleId="FontStyle26">
    <w:name w:val="Font Style26"/>
    <w:basedOn w:val="a0"/>
    <w:uiPriority w:val="99"/>
    <w:rsid w:val="00042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42EF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42EFD"/>
  </w:style>
  <w:style w:type="paragraph" w:customStyle="1" w:styleId="Style16">
    <w:name w:val="Style16"/>
    <w:basedOn w:val="a"/>
    <w:uiPriority w:val="99"/>
    <w:rsid w:val="00042EFD"/>
  </w:style>
  <w:style w:type="character" w:customStyle="1" w:styleId="FontStyle20">
    <w:name w:val="Font Style20"/>
    <w:basedOn w:val="a0"/>
    <w:uiPriority w:val="99"/>
    <w:rsid w:val="00042EF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042EF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42E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aliases w:val=" Знак,Знак,Основной текст таблиц,в таблице,таблицы,в таблицах, в таблице, в таблицах,в таблицах Знак, в таблицах Знак Знак Знак Знак Знак, в таблицах Знак Знак Знак Знак Знак Знак Знак Знак Знак Знак Знак Знак Знак, в таблицах Знак Знак"/>
    <w:basedOn w:val="a"/>
    <w:link w:val="a4"/>
    <w:rsid w:val="00042E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4">
    <w:name w:val="Основной текст Знак"/>
    <w:aliases w:val=" Знак Знак,Знак Знак,Основной текст таблиц Знак,в таблице Знак,таблицы Знак,в таблицах Знак1, в таблице Знак, в таблицах Знак,в таблицах Знак Знак, в таблицах Знак Знак Знак Знак Знак Знак, в таблицах Знак Знак Знак"/>
    <w:basedOn w:val="a0"/>
    <w:link w:val="a3"/>
    <w:rsid w:val="0004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EFD"/>
    <w:pPr>
      <w:keepNext/>
      <w:widowControl/>
      <w:autoSpaceDE/>
      <w:autoSpaceDN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2EFD"/>
    <w:pPr>
      <w:spacing w:line="245" w:lineRule="exact"/>
      <w:ind w:firstLine="353"/>
    </w:pPr>
  </w:style>
  <w:style w:type="paragraph" w:customStyle="1" w:styleId="Style6">
    <w:name w:val="Style6"/>
    <w:basedOn w:val="a"/>
    <w:uiPriority w:val="99"/>
    <w:rsid w:val="00042EFD"/>
    <w:pPr>
      <w:spacing w:line="245" w:lineRule="exact"/>
    </w:pPr>
  </w:style>
  <w:style w:type="paragraph" w:customStyle="1" w:styleId="Style13">
    <w:name w:val="Style13"/>
    <w:basedOn w:val="a"/>
    <w:uiPriority w:val="99"/>
    <w:rsid w:val="00042EFD"/>
    <w:pPr>
      <w:spacing w:line="245" w:lineRule="exact"/>
    </w:pPr>
  </w:style>
  <w:style w:type="paragraph" w:customStyle="1" w:styleId="Style14">
    <w:name w:val="Style14"/>
    <w:basedOn w:val="a"/>
    <w:uiPriority w:val="99"/>
    <w:rsid w:val="00042EFD"/>
    <w:pPr>
      <w:spacing w:line="238" w:lineRule="exact"/>
    </w:pPr>
  </w:style>
  <w:style w:type="character" w:customStyle="1" w:styleId="FontStyle26">
    <w:name w:val="Font Style26"/>
    <w:basedOn w:val="a0"/>
    <w:uiPriority w:val="99"/>
    <w:rsid w:val="00042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42EF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42EFD"/>
  </w:style>
  <w:style w:type="paragraph" w:customStyle="1" w:styleId="Style16">
    <w:name w:val="Style16"/>
    <w:basedOn w:val="a"/>
    <w:uiPriority w:val="99"/>
    <w:rsid w:val="00042EFD"/>
  </w:style>
  <w:style w:type="character" w:customStyle="1" w:styleId="FontStyle20">
    <w:name w:val="Font Style20"/>
    <w:basedOn w:val="a0"/>
    <w:uiPriority w:val="99"/>
    <w:rsid w:val="00042EF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042EF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42E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aliases w:val=" Знак,Знак,Основной текст таблиц,в таблице,таблицы,в таблицах, в таблице, в таблицах,в таблицах Знак, в таблицах Знак Знак Знак Знак Знак, в таблицах Знак Знак Знак Знак Знак Знак Знак Знак Знак Знак Знак Знак Знак, в таблицах Знак Знак"/>
    <w:basedOn w:val="a"/>
    <w:link w:val="a4"/>
    <w:rsid w:val="00042E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4">
    <w:name w:val="Основной текст Знак"/>
    <w:aliases w:val=" Знак Знак,Знак Знак,Основной текст таблиц Знак,в таблице Знак,таблицы Знак,в таблицах Знак1, в таблице Знак, в таблицах Знак,в таблицах Знак Знак, в таблицах Знак Знак Знак Знак Знак Знак, в таблицах Знак Знак Знак"/>
    <w:basedOn w:val="a0"/>
    <w:link w:val="a3"/>
    <w:rsid w:val="0004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Scherbakov-VV</dc:creator>
  <cp:lastModifiedBy>Kutilov-OA</cp:lastModifiedBy>
  <cp:revision>3</cp:revision>
  <dcterms:created xsi:type="dcterms:W3CDTF">2017-11-10T12:25:00Z</dcterms:created>
  <dcterms:modified xsi:type="dcterms:W3CDTF">2017-11-24T14:31:00Z</dcterms:modified>
</cp:coreProperties>
</file>